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 w:rsidR="003B4D93">
        <w:rPr>
          <w:rFonts w:ascii="Times New Roman" w:hAnsi="Times New Roman" w:cs="Times New Roman"/>
          <w:b w:val="0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D93" w:rsidRDefault="003B4D93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ГАУ «Госэкспертиза Кузбасса»</w:t>
      </w:r>
    </w:p>
    <w:p w:rsidR="008E2E56" w:rsidRDefault="003B4D93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«9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8E2E56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№14-1/п</w:t>
      </w:r>
    </w:p>
    <w:p w:rsidR="008E2E56" w:rsidRDefault="008E2E56" w:rsidP="00FD20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4D93" w:rsidRDefault="003B4F45" w:rsidP="003B4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</w:p>
    <w:p w:rsidR="005A660E" w:rsidRPr="000D1475" w:rsidRDefault="003B4F45" w:rsidP="003B4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ГАУ «ГОСЭКСПЕРТИЗА КУЗБАССА»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3B4D93" w:rsidRDefault="0079777A" w:rsidP="003B4D93">
      <w:pPr>
        <w:pStyle w:val="ConsPlusNormal"/>
        <w:numPr>
          <w:ilvl w:val="1"/>
          <w:numId w:val="1"/>
        </w:num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>оложение о конфликте интересов</w:t>
      </w:r>
      <w:r w:rsidR="003B4D93">
        <w:rPr>
          <w:rFonts w:ascii="Times New Roman" w:hAnsi="Times New Roman" w:cs="Times New Roman"/>
          <w:sz w:val="28"/>
          <w:szCs w:val="28"/>
        </w:rPr>
        <w:t xml:space="preserve"> в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</w:t>
      </w:r>
      <w:r w:rsidR="003B4D93" w:rsidRPr="003B4D93">
        <w:rPr>
          <w:rFonts w:ascii="Times New Roman" w:hAnsi="Times New Roman" w:cs="Times New Roman"/>
          <w:sz w:val="28"/>
          <w:szCs w:val="28"/>
        </w:rPr>
        <w:t>государственном автономном учреждении «Управление государственной экспертизы проектной документации и результатов инженерных изысканий Кузбасса»</w:t>
      </w:r>
      <w:r w:rsidR="003B4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3B4D93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3B4D93">
        <w:rPr>
          <w:rFonts w:ascii="Times New Roman" w:hAnsi="Times New Roman" w:cs="Times New Roman"/>
          <w:sz w:val="28"/>
          <w:szCs w:val="28"/>
        </w:rPr>
        <w:t>ым</w:t>
      </w:r>
      <w:r w:rsidR="006F3400" w:rsidRPr="003B4D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3B4D93">
        <w:rPr>
          <w:rFonts w:ascii="Times New Roman" w:hAnsi="Times New Roman" w:cs="Times New Roman"/>
          <w:sz w:val="28"/>
          <w:szCs w:val="28"/>
        </w:rPr>
        <w:t>ом</w:t>
      </w:r>
      <w:r w:rsidR="006F3400" w:rsidRPr="003B4D93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3B4D93">
        <w:rPr>
          <w:rFonts w:ascii="Times New Roman" w:hAnsi="Times New Roman" w:cs="Times New Roman"/>
          <w:sz w:val="28"/>
          <w:szCs w:val="28"/>
        </w:rPr>
        <w:t> </w:t>
      </w:r>
      <w:r w:rsidR="006F3400" w:rsidRPr="003B4D93">
        <w:rPr>
          <w:rFonts w:ascii="Times New Roman" w:hAnsi="Times New Roman" w:cs="Times New Roman"/>
          <w:sz w:val="28"/>
          <w:szCs w:val="28"/>
        </w:rPr>
        <w:t>273-ФЗ</w:t>
      </w:r>
      <w:r w:rsidR="003B4D9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3B4D93" w:rsidRPr="003B4D93">
        <w:rPr>
          <w:rFonts w:ascii="Times New Roman" w:hAnsi="Times New Roman" w:cs="Times New Roman"/>
          <w:sz w:val="28"/>
          <w:szCs w:val="28"/>
        </w:rPr>
        <w:t>стать</w:t>
      </w:r>
      <w:r w:rsidR="003B4D93">
        <w:rPr>
          <w:rFonts w:ascii="Times New Roman" w:hAnsi="Times New Roman" w:cs="Times New Roman"/>
          <w:sz w:val="28"/>
          <w:szCs w:val="28"/>
        </w:rPr>
        <w:t>ями</w:t>
      </w:r>
      <w:r w:rsidR="003B4D93" w:rsidRPr="003B4D93">
        <w:rPr>
          <w:rFonts w:ascii="Times New Roman" w:hAnsi="Times New Roman" w:cs="Times New Roman"/>
          <w:sz w:val="28"/>
          <w:szCs w:val="28"/>
        </w:rPr>
        <w:t xml:space="preserve"> 16 и 17 Федерального закона от 03.11.2006 № 174</w:t>
      </w:r>
      <w:r w:rsidR="003B4D93">
        <w:rPr>
          <w:rFonts w:ascii="Times New Roman" w:hAnsi="Times New Roman" w:cs="Times New Roman"/>
          <w:sz w:val="28"/>
          <w:szCs w:val="28"/>
        </w:rPr>
        <w:t>-ФЗ «Об автономных учреждениях»,</w:t>
      </w:r>
      <w:r w:rsidR="00A84E10" w:rsidRPr="003B4D93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3B4D93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</w:t>
      </w:r>
      <w:r w:rsidR="00AB2254" w:rsidRPr="003B4D93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3B4D93">
        <w:rPr>
          <w:rFonts w:ascii="Times New Roman" w:hAnsi="Times New Roman" w:cs="Times New Roman"/>
          <w:sz w:val="28"/>
          <w:szCs w:val="28"/>
        </w:rPr>
        <w:t xml:space="preserve">в рамках реализации уставных целей и задач </w:t>
      </w:r>
      <w:r w:rsidR="003B4D93" w:rsidRPr="003B4D93">
        <w:rPr>
          <w:rFonts w:ascii="Times New Roman" w:hAnsi="Times New Roman" w:cs="Times New Roman"/>
          <w:sz w:val="28"/>
          <w:szCs w:val="28"/>
        </w:rPr>
        <w:t>автономного</w:t>
      </w:r>
      <w:r w:rsidR="004C3070" w:rsidRPr="003B4D93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3B4D93">
        <w:rPr>
          <w:rFonts w:ascii="Times New Roman" w:hAnsi="Times New Roman" w:cs="Times New Roman"/>
          <w:sz w:val="28"/>
          <w:szCs w:val="28"/>
        </w:rPr>
        <w:t>учреждени</w:t>
      </w:r>
      <w:r w:rsidR="003B4D93">
        <w:rPr>
          <w:rFonts w:ascii="Times New Roman" w:hAnsi="Times New Roman" w:cs="Times New Roman"/>
          <w:sz w:val="28"/>
          <w:szCs w:val="28"/>
        </w:rPr>
        <w:t>я (далее по тексту – учреждение)</w:t>
      </w:r>
      <w:r w:rsidR="006F3400" w:rsidRPr="003B4D93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B4D93">
        <w:rPr>
          <w:rFonts w:ascii="Times New Roman" w:hAnsi="Times New Roman" w:cs="Times New Roman"/>
          <w:sz w:val="28"/>
          <w:szCs w:val="28"/>
        </w:rPr>
        <w:t xml:space="preserve"> 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2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>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A2405B" w:rsidRPr="00A2405B" w:rsidRDefault="009746B9" w:rsidP="003B4D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3070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A2405B" w:rsidRPr="00A2405B">
        <w:rPr>
          <w:rFonts w:ascii="Times New Roman" w:hAnsi="Times New Roman" w:cs="Times New Roman"/>
          <w:sz w:val="28"/>
          <w:szCs w:val="28"/>
        </w:rPr>
        <w:t>.</w:t>
      </w:r>
    </w:p>
    <w:p w:rsidR="00A2405B" w:rsidRDefault="00A2405B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0AB"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:rsidR="009746B9" w:rsidRPr="00F26805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F26805" w:rsidRPr="00F26805">
        <w:rPr>
          <w:rFonts w:ascii="Times New Roman" w:hAnsi="Times New Roman" w:cs="Times New Roman"/>
          <w:sz w:val="28"/>
          <w:szCs w:val="28"/>
        </w:rPr>
        <w:t>заместитель директора учреждения</w:t>
      </w:r>
      <w:r w:rsidR="009746B9" w:rsidRPr="00F26805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E4AD7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</w:p>
    <w:p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FD2022" w:rsidRDefault="00FD2022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9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«в»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пункта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 w:rsidR="00FD2022" w:rsidRPr="00FD2022">
        <w:t xml:space="preserve"> </w:t>
      </w:r>
      <w:r w:rsidR="00FD202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</w:t>
      </w:r>
      <w:r w:rsidR="00FD2022" w:rsidRPr="00FD2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 Федерального закона от 03.11.2006 № 174</w:t>
      </w:r>
      <w:r w:rsidR="00FD2022">
        <w:rPr>
          <w:rFonts w:ascii="Times New Roman" w:eastAsiaTheme="minorHAnsi" w:hAnsi="Times New Roman" w:cs="Times New Roman"/>
          <w:sz w:val="28"/>
          <w:szCs w:val="28"/>
          <w:lang w:eastAsia="en-US"/>
        </w:rPr>
        <w:t>-ФЗ «Об автономных учреждениях»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022" w:rsidRDefault="00FD202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«Госэкспертиза Кузбасса»</w:t>
      </w:r>
    </w:p>
    <w:p w:rsidR="00FC1159" w:rsidRPr="00FC1159" w:rsidRDefault="00D0180F" w:rsidP="00D0180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FC1159"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212A1" w:rsidRDefault="00D0180F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</w:t>
      </w:r>
      <w:r w:rsidR="007212A1" w:rsidRPr="00721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«Госэкспертиза Кузбасса»</w:t>
      </w:r>
    </w:p>
    <w:p w:rsidR="007212A1" w:rsidRDefault="007212A1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0180F" w:rsidRDefault="00D0180F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D0180F" w:rsidRDefault="00D0180F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7212A1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D018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Наблюдательный совет учреждения</w:t>
      </w:r>
    </w:p>
    <w:p w:rsidR="00FC1159" w:rsidRPr="00FC1159" w:rsidRDefault="00FC1159" w:rsidP="00FD202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D2022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FC1159" w:rsidRPr="00FC1159" w:rsidRDefault="00FC1159" w:rsidP="00FD2022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D2022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1159"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</w:p>
    <w:p w:rsidR="00FC1159" w:rsidRPr="00F26805" w:rsidRDefault="00FC1159" w:rsidP="00F26805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:rsidR="00FD2022" w:rsidRDefault="00FD2022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D2022" w:rsidRDefault="00FD2022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D2022" w:rsidRDefault="00FD2022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2022" w:rsidRDefault="00FC1159" w:rsidP="00F2680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</w:t>
      </w:r>
      <w:r w:rsidR="00FD2022">
        <w:rPr>
          <w:rFonts w:ascii="Times New Roman" w:hAnsi="Times New Roman" w:cs="Times New Roman"/>
          <w:sz w:val="28"/>
          <w:szCs w:val="28"/>
        </w:rPr>
        <w:t>лированию  конфликта интересов:</w:t>
      </w:r>
      <w:r w:rsidRPr="00FC115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D20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Pr="00FC1159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D2022" w:rsidRDefault="00FD2022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D2022" w:rsidRDefault="00FC1159" w:rsidP="00FD202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RPr="00FD2022" w:rsidSect="00F26805">
          <w:headerReference w:type="default" r:id="rId12"/>
          <w:pgSz w:w="11906" w:h="16838"/>
          <w:pgMar w:top="794" w:right="567" w:bottom="851" w:left="1134" w:header="709" w:footer="709" w:gutter="0"/>
          <w:cols w:space="708"/>
          <w:titlePg/>
          <w:docGrid w:linePitch="360"/>
        </w:sect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</w:t>
      </w:r>
      <w:r w:rsidR="00FD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есованности_________________</w:t>
      </w:r>
    </w:p>
    <w:bookmarkEnd w:id="0"/>
    <w:p w:rsidR="00FC1159" w:rsidRPr="00FC1159" w:rsidRDefault="00FC1159" w:rsidP="00FC1159"/>
    <w:p w:rsidR="00FC1159" w:rsidRPr="00FD2022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2022" w:rsidRPr="00FD2022" w:rsidRDefault="00FD2022" w:rsidP="00FD2022">
      <w:pPr>
        <w:widowControl w:val="0"/>
        <w:autoSpaceDE w:val="0"/>
        <w:autoSpaceDN w:val="0"/>
        <w:ind w:left="8505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2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</w:t>
      </w:r>
      <w:r w:rsidRPr="00FD202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к Положению о конфликте интересов </w:t>
      </w:r>
    </w:p>
    <w:p w:rsidR="00FD2022" w:rsidRPr="00FD2022" w:rsidRDefault="00FD2022" w:rsidP="00FD2022">
      <w:pPr>
        <w:widowControl w:val="0"/>
        <w:autoSpaceDE w:val="0"/>
        <w:autoSpaceDN w:val="0"/>
        <w:ind w:left="8505"/>
        <w:jc w:val="lef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2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ГАУ «Госэкспертиза Кузбасса»</w:t>
      </w:r>
    </w:p>
    <w:p w:rsidR="00FD2022" w:rsidRPr="00FD2022" w:rsidRDefault="00FD2022" w:rsidP="00FD2022">
      <w:pPr>
        <w:autoSpaceDE w:val="0"/>
        <w:autoSpaceDN w:val="0"/>
        <w:spacing w:after="24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D2022" w:rsidRPr="00FD2022" w:rsidRDefault="00FD2022" w:rsidP="00FD2022">
      <w:pPr>
        <w:autoSpaceDE w:val="0"/>
        <w:autoSpaceDN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D20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Журнал</w:t>
      </w:r>
      <w:r w:rsidRPr="00FD20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регистрации сообщений о наличии личной заинтересованности</w:t>
      </w:r>
    </w:p>
    <w:p w:rsidR="00FD2022" w:rsidRPr="00FD2022" w:rsidRDefault="00FD2022" w:rsidP="00FD2022">
      <w:pPr>
        <w:autoSpaceDE w:val="0"/>
        <w:autoSpaceDN w:val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977"/>
        <w:gridCol w:w="2126"/>
        <w:gridCol w:w="2268"/>
        <w:gridCol w:w="1871"/>
        <w:gridCol w:w="1672"/>
        <w:gridCol w:w="2269"/>
      </w:tblGrid>
      <w:tr w:rsidR="00FD2022" w:rsidRPr="00FD2022" w:rsidTr="00AD303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лица,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представившего сообщение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заинтересованности лица 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Сделка (иное действие), в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совершении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которой (которого) имеется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заинтересованность лица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лица, принявшего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лица, принявшего сообщение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передаче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материалов по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сделке для </w:t>
            </w:r>
          </w:p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одобрения в </w:t>
            </w:r>
          </w:p>
          <w:p w:rsidR="00FD2022" w:rsidRPr="00FD2022" w:rsidRDefault="00FD2022" w:rsidP="00F2680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</w:tr>
      <w:tr w:rsidR="00FD2022" w:rsidRPr="00FD2022" w:rsidTr="00AD3035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22" w:rsidRPr="00FD2022" w:rsidTr="00AD3035">
        <w:trPr>
          <w:trHeight w:val="30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022" w:rsidRPr="00FD2022" w:rsidTr="00AD3035">
        <w:trPr>
          <w:trHeight w:val="30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20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FD2022" w:rsidRPr="00FD2022" w:rsidRDefault="00FD2022" w:rsidP="00FD202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022" w:rsidRPr="00FD2022" w:rsidRDefault="00FD2022" w:rsidP="00FD2022">
      <w:pPr>
        <w:spacing w:after="200" w:line="276" w:lineRule="auto"/>
      </w:pP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2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«Госэкспертиза Кузбасса»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D2022" w:rsidP="00FD202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1159"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ример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dst100194"/>
      <w:bookmarkEnd w:id="1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о возникновении личной заинтересованности, которая приводит или может привести к конфликту интересов</w:t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руководителем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6EF5" w:rsidRDefault="00526EF5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EF5" w:rsidRDefault="00526EF5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 w:rsidRPr="006A5B90">
        <w:rPr>
          <w:rFonts w:ascii="Times New Roman" w:hAnsi="Times New Roman" w:cs="Times New Roman"/>
          <w:sz w:val="28"/>
          <w:szCs w:val="28"/>
        </w:rPr>
        <w:t xml:space="preserve"> </w:t>
      </w:r>
      <w:r w:rsidR="006A5B9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65372A"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BB768C" w:rsidRDefault="00BB768C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если 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BB768C" w:rsidRDefault="00BB768C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BB768C" w:rsidRDefault="00BB768C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lastRenderedPageBreak/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BB768C" w:rsidRDefault="00BB768C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>
        <w:rPr>
          <w:rFonts w:ascii="Times New Roman" w:hAnsi="Times New Roman" w:cs="Times New Roman"/>
          <w:sz w:val="28"/>
          <w:szCs w:val="28"/>
        </w:rPr>
        <w:t xml:space="preserve"> исполнительного 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заключении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Pr="00526EF5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законодательством установлены ограничения на распоряжение имуществом  автономным учреждениями, а также согласов</w:t>
      </w:r>
      <w:r w:rsidR="00526EF5">
        <w:rPr>
          <w:rFonts w:ascii="Times New Roman" w:hAnsi="Times New Roman" w:cs="Times New Roman"/>
          <w:sz w:val="28"/>
          <w:szCs w:val="28"/>
        </w:rPr>
        <w:t xml:space="preserve">ание совершения крупных сделок </w:t>
      </w:r>
      <w:r>
        <w:rPr>
          <w:rFonts w:ascii="Times New Roman" w:hAnsi="Times New Roman" w:cs="Times New Roman"/>
          <w:sz w:val="28"/>
          <w:szCs w:val="28"/>
        </w:rPr>
        <w:t>в автономном учреждении – наблюдательного совета автономного учреждения</w:t>
      </w:r>
      <w:r w:rsidR="00526EF5" w:rsidRPr="00526EF5">
        <w:rPr>
          <w:rFonts w:ascii="Times New Roman" w:hAnsi="Times New Roman" w:cs="Times New Roman"/>
        </w:rPr>
        <w:t xml:space="preserve"> </w:t>
      </w:r>
      <w:r w:rsidR="00526EF5" w:rsidRPr="00526EF5">
        <w:rPr>
          <w:rFonts w:ascii="Times New Roman" w:hAnsi="Times New Roman" w:cs="Times New Roman"/>
          <w:sz w:val="28"/>
          <w:szCs w:val="28"/>
        </w:rPr>
        <w:t>(части 2 и 6 статьи 3 Феде</w:t>
      </w:r>
      <w:r w:rsidR="00526EF5">
        <w:rPr>
          <w:rFonts w:ascii="Times New Roman" w:hAnsi="Times New Roman" w:cs="Times New Roman"/>
          <w:sz w:val="28"/>
          <w:szCs w:val="28"/>
        </w:rPr>
        <w:t>рального закона от 03.11.2006 №</w:t>
      </w:r>
      <w:r w:rsidR="00526EF5" w:rsidRPr="00526EF5">
        <w:rPr>
          <w:rFonts w:ascii="Times New Roman" w:hAnsi="Times New Roman" w:cs="Times New Roman"/>
          <w:sz w:val="28"/>
          <w:szCs w:val="28"/>
        </w:rPr>
        <w:t>174-ФЗ «Об автономных учреждениях».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47" w:rsidRDefault="00BC4347" w:rsidP="00265353">
      <w:r>
        <w:separator/>
      </w:r>
    </w:p>
  </w:endnote>
  <w:endnote w:type="continuationSeparator" w:id="0">
    <w:p w:rsidR="00BC4347" w:rsidRDefault="00BC4347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47" w:rsidRDefault="00BC4347" w:rsidP="00265353">
      <w:r>
        <w:separator/>
      </w:r>
    </w:p>
  </w:footnote>
  <w:footnote w:type="continuationSeparator" w:id="0">
    <w:p w:rsidR="00BC4347" w:rsidRDefault="00BC4347" w:rsidP="0026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69588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657E7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75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BB7"/>
    <w:multiLevelType w:val="multilevel"/>
    <w:tmpl w:val="761EF5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9"/>
    <w:rsid w:val="00001A3C"/>
    <w:rsid w:val="000128F7"/>
    <w:rsid w:val="00036A3F"/>
    <w:rsid w:val="00042885"/>
    <w:rsid w:val="00072317"/>
    <w:rsid w:val="0007767F"/>
    <w:rsid w:val="000837C7"/>
    <w:rsid w:val="00086632"/>
    <w:rsid w:val="000B1BB4"/>
    <w:rsid w:val="000D1475"/>
    <w:rsid w:val="00114212"/>
    <w:rsid w:val="00137039"/>
    <w:rsid w:val="00162EB3"/>
    <w:rsid w:val="001822EB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E5754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B4D93"/>
    <w:rsid w:val="003B4F45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26EF5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46CA4"/>
    <w:rsid w:val="00657E75"/>
    <w:rsid w:val="00682199"/>
    <w:rsid w:val="006A5B90"/>
    <w:rsid w:val="006E24E4"/>
    <w:rsid w:val="006E541E"/>
    <w:rsid w:val="006F3400"/>
    <w:rsid w:val="007212A1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B2599"/>
    <w:rsid w:val="008B3D18"/>
    <w:rsid w:val="008D6E52"/>
    <w:rsid w:val="008E2E56"/>
    <w:rsid w:val="00905853"/>
    <w:rsid w:val="0095472F"/>
    <w:rsid w:val="00970AEE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1E72"/>
    <w:rsid w:val="00B0706B"/>
    <w:rsid w:val="00B11666"/>
    <w:rsid w:val="00B635BA"/>
    <w:rsid w:val="00B7381E"/>
    <w:rsid w:val="00B7680D"/>
    <w:rsid w:val="00BA658D"/>
    <w:rsid w:val="00BB39A9"/>
    <w:rsid w:val="00BB6F09"/>
    <w:rsid w:val="00BB768C"/>
    <w:rsid w:val="00BC4347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D01282"/>
    <w:rsid w:val="00D0180F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76EFB"/>
    <w:rsid w:val="00EA000D"/>
    <w:rsid w:val="00EB542A"/>
    <w:rsid w:val="00EC25F5"/>
    <w:rsid w:val="00EE0898"/>
    <w:rsid w:val="00F126DA"/>
    <w:rsid w:val="00F15BA0"/>
    <w:rsid w:val="00F26805"/>
    <w:rsid w:val="00F402F8"/>
    <w:rsid w:val="00F46BC2"/>
    <w:rsid w:val="00F4708C"/>
    <w:rsid w:val="00F50ECF"/>
    <w:rsid w:val="00FC1159"/>
    <w:rsid w:val="00FC7DAF"/>
    <w:rsid w:val="00FD2022"/>
    <w:rsid w:val="00FE11D2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3069"/>
  <w15:docId w15:val="{56116075-FAB1-4D8A-B42E-B736F56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8062111ADEB8B0099907FC5E0F83A7B6A488B536E13tEg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2BB062-050E-4E33-B70D-8FE4AE9F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6</cp:revision>
  <cp:lastPrinted>2021-06-09T06:51:00Z</cp:lastPrinted>
  <dcterms:created xsi:type="dcterms:W3CDTF">2021-06-02T07:46:00Z</dcterms:created>
  <dcterms:modified xsi:type="dcterms:W3CDTF">2021-06-09T06:59:00Z</dcterms:modified>
</cp:coreProperties>
</file>